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附件4：</w:t>
      </w:r>
    </w:p>
    <w:bookmarkEnd w:id="0"/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岗位量化评价审核表</w:t>
      </w:r>
    </w:p>
    <w:p>
      <w:pPr>
        <w:wordWrap w:val="0"/>
        <w:jc w:val="right"/>
        <w:rPr>
          <w:rFonts w:ascii="仿宋_GB2312" w:hAnsi="宋体" w:eastAsia="仿宋_GB2312"/>
          <w:szCs w:val="21"/>
        </w:rPr>
      </w:pPr>
      <w:r>
        <w:rPr>
          <w:rFonts w:hint="eastAsia" w:ascii="宋体" w:hAnsi="宋体" w:cs="宋体"/>
          <w:sz w:val="24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年   月   日</w:t>
      </w:r>
    </w:p>
    <w:tbl>
      <w:tblPr>
        <w:tblStyle w:val="4"/>
        <w:tblW w:w="8499" w:type="dxa"/>
        <w:jc w:val="center"/>
        <w:tblInd w:w="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714"/>
        <w:gridCol w:w="851"/>
        <w:gridCol w:w="2551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应聘者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评价指标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评分标准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分值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“985”“211”等重点大学全日制本科（限第一批录用）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1.以最高学历计算，不重复计分；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2.国外获得的学历学位，需经教育部出国留学服务中心认定。</w:t>
            </w:r>
          </w:p>
          <w:p>
            <w:pPr>
              <w:pStyle w:val="2"/>
              <w:spacing w:line="400" w:lineRule="exact"/>
              <w:rPr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bidi="ar-SA"/>
              </w:rPr>
              <w:t>3、未获得相应学位的不计分。</w:t>
            </w:r>
          </w:p>
        </w:tc>
        <w:tc>
          <w:tcPr>
            <w:tcW w:w="8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全日制硕士研究生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“985”“211”等重点大学全日制硕士研究生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工程师、会计师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具有多个职称、职（执）业资格的，按最高计分证书计算，不重复计算；同时具有财务管理和工程管理两个岗位职称、职（执）业资格的，分别取最高计分证书叠加计分。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高级工程师、高级会计师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职（执）业资格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bidi="ar-SA"/>
              </w:rPr>
              <w:t>建造师（二级）、造价师（一级）、结构师（二级）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bidi="ar-SA"/>
              </w:rPr>
              <w:t>建造师（一级）、造结构师（一级）、注册会计师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评价得分合计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ascii="仿宋_GB2312" w:eastAsia="仿宋_GB2312" w:cs="Times New Roman"/>
          <w:sz w:val="28"/>
          <w:szCs w:val="28"/>
          <w:lang w:val="en-US" w:bidi="ar-SA"/>
        </w:rPr>
      </w:pPr>
      <w:r>
        <w:rPr>
          <w:rFonts w:hint="eastAsia" w:ascii="仿宋_GB2312" w:eastAsia="仿宋_GB2312" w:cs="Times New Roman"/>
          <w:sz w:val="28"/>
          <w:szCs w:val="28"/>
          <w:lang w:val="en-US" w:bidi="ar-SA"/>
        </w:rPr>
        <w:t>本表由区国资办组织人员填写。</w:t>
      </w:r>
    </w:p>
    <w:p>
      <w:pPr>
        <w:pStyle w:val="2"/>
        <w:rPr>
          <w:rFonts w:ascii="仿宋_GB2312" w:hAnsi="Times New Roman" w:eastAsia="仿宋_GB2312" w:cs="Times New Roman"/>
          <w:sz w:val="28"/>
          <w:szCs w:val="28"/>
          <w:lang w:val="en-US" w:bidi="ar-SA"/>
        </w:rPr>
      </w:pPr>
      <w:r>
        <w:rPr>
          <w:rFonts w:hint="eastAsia" w:ascii="仿宋_GB2312" w:eastAsia="仿宋_GB2312" w:cs="Times New Roman"/>
          <w:sz w:val="28"/>
          <w:szCs w:val="28"/>
          <w:lang w:val="en-US" w:bidi="ar-SA"/>
        </w:rPr>
        <w:t>初审人：                      复审人：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662FC"/>
    <w:rsid w:val="260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cs="宋体"/>
      <w:sz w:val="31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2021-07-28T02:18:00Z</dcterms:created>
  <dc:creator>项丽丽</dc:creator>
  <cp:lastModifiedBy>项丽丽</cp:lastModifiedBy>
  <dcterms:modified xsi:type="dcterms:W3CDTF">2021-07-28T02:18:59Z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